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jc w:val="right"/>
        <w:rPr>
          <w:rFonts w:ascii="Arial" w:hAnsi="Arial" w:cs="Arial"/>
          <w:sz w:val="24"/>
          <w:szCs w:val="24"/>
        </w:rPr>
      </w:pPr>
      <w:r>
        <w:rPr>
          <w:rFonts w:cs="Arial" w:ascii="Arial" w:hAnsi="Arial"/>
          <w:sz w:val="24"/>
          <w:szCs w:val="24"/>
        </w:rPr>
        <w:t>Drawsko Pomorskie</w:t>
      </w:r>
      <w:r>
        <w:rPr>
          <w:rFonts w:cs="Arial" w:ascii="Arial" w:hAnsi="Arial"/>
          <w:sz w:val="24"/>
          <w:szCs w:val="24"/>
        </w:rPr>
        <w:t>, dnia 02.lipiec 2021 r.</w:t>
      </w:r>
    </w:p>
    <w:p>
      <w:pPr>
        <w:pStyle w:val="Normal"/>
        <w:rPr/>
      </w:pPr>
      <w:r>
        <w:rPr/>
        <w:t xml:space="preserve"> </w:t>
      </w:r>
    </w:p>
    <w:p>
      <w:pPr>
        <w:pStyle w:val="Normal"/>
        <w:jc w:val="center"/>
        <w:rPr>
          <w:rFonts w:ascii="Arial" w:hAnsi="Arial" w:cs="Arial"/>
          <w:b/>
          <w:b/>
          <w:sz w:val="28"/>
          <w:szCs w:val="28"/>
        </w:rPr>
      </w:pPr>
      <w:r>
        <w:rPr>
          <w:rFonts w:cs="Arial" w:ascii="Arial" w:hAnsi="Arial"/>
          <w:b/>
          <w:sz w:val="28"/>
          <w:szCs w:val="28"/>
        </w:rPr>
        <w:t>ZAWIADOMIENIE</w:t>
      </w:r>
    </w:p>
    <w:p>
      <w:pPr>
        <w:pStyle w:val="Normal"/>
        <w:rPr/>
      </w:pPr>
      <w:r>
        <w:rPr/>
      </w:r>
    </w:p>
    <w:p>
      <w:pPr>
        <w:pStyle w:val="Normal"/>
        <w:jc w:val="center"/>
        <w:rPr>
          <w:rFonts w:ascii="Arial" w:hAnsi="Arial" w:cs="Arial"/>
          <w:color w:val="2F5496" w:themeColor="accent5" w:themeShade="bf"/>
          <w:u w:val="single"/>
        </w:rPr>
      </w:pPr>
      <w:r>
        <w:rPr>
          <w:rFonts w:cs="Arial" w:ascii="Arial" w:hAnsi="Arial"/>
        </w:rPr>
        <w:t xml:space="preserve">zamieszczono na stronie internetowej ZZSC </w:t>
      </w:r>
      <w:hyperlink r:id="rId2">
        <w:r>
          <w:rPr>
            <w:rStyle w:val="Czeinternetowe"/>
            <w:rFonts w:cs="Arial" w:ascii="Arial" w:hAnsi="Arial"/>
            <w:color w:val="034990" w:themeColor="hyperlink" w:themeShade="bf"/>
          </w:rPr>
          <w:t>http://bip.pojezierzedrawskie.com.pl/</w:t>
        </w:r>
      </w:hyperlink>
    </w:p>
    <w:p>
      <w:pPr>
        <w:pStyle w:val="Normal"/>
        <w:jc w:val="center"/>
        <w:rPr>
          <w:rFonts w:ascii="Arial" w:hAnsi="Arial" w:cs="Arial"/>
        </w:rPr>
      </w:pPr>
      <w:r>
        <w:rPr>
          <w:rFonts w:cs="Arial" w:ascii="Arial" w:hAnsi="Arial"/>
        </w:rPr>
      </w:r>
    </w:p>
    <w:p>
      <w:pPr>
        <w:pStyle w:val="Normal"/>
        <w:jc w:val="center"/>
        <w:rPr>
          <w:rFonts w:ascii="Arial" w:hAnsi="Arial" w:cs="Arial"/>
          <w:b/>
          <w:b/>
          <w:sz w:val="24"/>
          <w:szCs w:val="24"/>
        </w:rPr>
      </w:pPr>
      <w:r>
        <w:rPr>
          <w:rFonts w:cs="Arial" w:ascii="Arial" w:hAnsi="Arial"/>
          <w:b/>
          <w:sz w:val="24"/>
          <w:szCs w:val="24"/>
        </w:rPr>
        <w:t>Dotyczy postępowania o udzielenie zamówienia publicznego prowadzonego w trybie podstawowym , w wariancie II</w:t>
      </w:r>
    </w:p>
    <w:p>
      <w:pPr>
        <w:pStyle w:val="Normal"/>
        <w:jc w:val="center"/>
        <w:rPr>
          <w:rFonts w:ascii="Arial" w:hAnsi="Arial" w:cs="Arial"/>
          <w:b/>
          <w:b/>
          <w:sz w:val="24"/>
          <w:szCs w:val="24"/>
        </w:rPr>
      </w:pPr>
      <w:r>
        <w:rPr>
          <w:rFonts w:cs="Arial" w:ascii="Arial" w:hAnsi="Arial"/>
          <w:sz w:val="24"/>
          <w:szCs w:val="24"/>
          <w:u w:val="single"/>
        </w:rPr>
        <w:t xml:space="preserve"> </w:t>
      </w:r>
      <w:r>
        <w:rPr>
          <w:rFonts w:eastAsia="" w:cs="Arial" w:ascii="Calibri Light" w:hAnsi="Calibri Light" w:asciiTheme="majorHAnsi" w:eastAsiaTheme="majorEastAsia" w:hAnsiTheme="majorHAnsi"/>
          <w:caps/>
          <w:color w:val="943634" w:themeColor="accent2" w:themeShade="bf"/>
          <w:spacing w:val="10"/>
          <w:sz w:val="24"/>
          <w:szCs w:val="24"/>
          <w:u w:val="single"/>
          <w:lang w:eastAsia="en-US"/>
        </w:rPr>
        <w:t>„</w:t>
      </w:r>
      <w:r>
        <w:rPr>
          <w:rFonts w:eastAsia="" w:cs="Arial" w:ascii="Calibri Light" w:hAnsi="Calibri Light" w:asciiTheme="majorHAnsi" w:eastAsiaTheme="majorEastAsia" w:hAnsiTheme="majorHAnsi"/>
          <w:caps/>
          <w:color w:val="943634" w:themeColor="accent2" w:themeShade="bf"/>
          <w:spacing w:val="10"/>
          <w:sz w:val="24"/>
          <w:szCs w:val="24"/>
          <w:u w:val="single"/>
          <w:lang w:eastAsia="en-US"/>
        </w:rPr>
        <w:t>wiata i komunikacja dla części osadowej oczyszczalni ścieków w Złocieńcu”</w:t>
      </w:r>
    </w:p>
    <w:p>
      <w:pPr>
        <w:pStyle w:val="Normal"/>
        <w:rPr>
          <w:rFonts w:ascii="Arial" w:hAnsi="Arial" w:cs="Arial"/>
          <w:b/>
          <w:b/>
          <w:iCs/>
          <w:sz w:val="24"/>
          <w:szCs w:val="24"/>
        </w:rPr>
      </w:pPr>
      <w:r>
        <w:rPr>
          <w:rFonts w:cs="Arial" w:ascii="Arial" w:hAnsi="Arial"/>
          <w:b/>
          <w:iCs/>
          <w:sz w:val="24"/>
          <w:szCs w:val="24"/>
        </w:rPr>
      </w:r>
    </w:p>
    <w:p>
      <w:pPr>
        <w:pStyle w:val="Normal"/>
        <w:rPr>
          <w:rFonts w:ascii="Arial" w:hAnsi="Arial" w:cs="Arial"/>
          <w:sz w:val="24"/>
          <w:szCs w:val="24"/>
        </w:rPr>
      </w:pPr>
      <w:r>
        <w:rPr>
          <w:rFonts w:cs="Arial" w:ascii="Arial" w:hAnsi="Arial"/>
          <w:b/>
          <w:iCs/>
          <w:sz w:val="24"/>
          <w:szCs w:val="24"/>
        </w:rPr>
        <w:t>Oznaczenie sprawy (numer referencyjny):  ZP.271.2.2021</w:t>
      </w:r>
    </w:p>
    <w:p>
      <w:pPr>
        <w:pStyle w:val="Normal"/>
        <w:rPr>
          <w:rFonts w:ascii="Arial" w:hAnsi="Arial" w:cs="Arial"/>
          <w:bCs/>
          <w:iCs/>
        </w:rPr>
      </w:pPr>
      <w:r>
        <w:rPr>
          <w:rFonts w:cs="Arial" w:ascii="Arial" w:hAnsi="Arial"/>
          <w:bCs/>
          <w:iCs/>
        </w:rPr>
      </w:r>
    </w:p>
    <w:p>
      <w:pPr>
        <w:pStyle w:val="Normal"/>
        <w:rPr>
          <w:rFonts w:ascii="Arial" w:hAnsi="Arial" w:cs="Arial"/>
        </w:rPr>
      </w:pPr>
      <w:r>
        <w:rPr>
          <w:rFonts w:cs="Arial" w:ascii="Arial" w:hAnsi="Arial"/>
          <w:b/>
          <w:bCs/>
          <w:sz w:val="24"/>
          <w:szCs w:val="24"/>
        </w:rPr>
        <w:t>Postępowanie o udzielenie zamówienia publicznego opublikowano w</w:t>
      </w:r>
      <w:r>
        <w:rPr>
          <w:rFonts w:cs="Arial" w:ascii="Arial" w:hAnsi="Arial"/>
          <w:b/>
          <w:bCs/>
        </w:rPr>
        <w:t>:</w:t>
      </w:r>
    </w:p>
    <w:p>
      <w:pPr>
        <w:pStyle w:val="Normal"/>
        <w:rPr/>
      </w:pPr>
      <w:r>
        <w:rPr>
          <w:rFonts w:cs="Arial" w:ascii="Arial" w:hAnsi="Arial"/>
          <w:sz w:val="24"/>
          <w:szCs w:val="24"/>
        </w:rPr>
        <w:t xml:space="preserve">Biuletynie Zamówień Publicznych,  nr ogłoszenia: </w:t>
      </w:r>
      <w:r>
        <w:rPr>
          <w:rFonts w:cs="Arial" w:ascii="sans-serif" w:hAnsi="sans-serif"/>
          <w:sz w:val="29"/>
          <w:szCs w:val="24"/>
        </w:rPr>
        <w:t>2021/BZP 00088771/01</w:t>
      </w:r>
      <w:r>
        <w:rPr>
          <w:rFonts w:cs="Arial" w:ascii="Arial" w:hAnsi="Arial"/>
          <w:sz w:val="24"/>
          <w:szCs w:val="24"/>
        </w:rPr>
        <w:t xml:space="preserve">  z dnia 21.06.2021</w:t>
      </w:r>
      <w:r>
        <w:rPr>
          <w:sz w:val="24"/>
          <w:szCs w:val="24"/>
        </w:rPr>
        <w:t xml:space="preserve"> r</w:t>
      </w:r>
      <w:r>
        <w:rPr/>
        <w:t>.</w:t>
      </w:r>
    </w:p>
    <w:p>
      <w:pPr>
        <w:pStyle w:val="Normal"/>
        <w:rPr/>
      </w:pPr>
      <w:r>
        <w:rPr/>
      </w:r>
    </w:p>
    <w:p>
      <w:pPr>
        <w:pStyle w:val="Normal"/>
        <w:jc w:val="center"/>
        <w:rPr>
          <w:rFonts w:ascii="Arial" w:hAnsi="Arial" w:cs="Arial"/>
          <w:b/>
          <w:b/>
          <w:sz w:val="24"/>
          <w:szCs w:val="24"/>
        </w:rPr>
      </w:pPr>
      <w:r>
        <w:rPr>
          <w:rFonts w:cs="Arial" w:ascii="Arial" w:hAnsi="Arial"/>
          <w:b/>
          <w:sz w:val="24"/>
          <w:szCs w:val="24"/>
        </w:rPr>
        <w:t>Do Zamawiającego wpłynęły pytania:</w:t>
      </w:r>
    </w:p>
    <w:p>
      <w:pPr>
        <w:pStyle w:val="Normal"/>
        <w:rPr>
          <w:rFonts w:ascii="Arial" w:hAnsi="Arial"/>
          <w:i w:val="false"/>
          <w:i w:val="false"/>
          <w:iCs w:val="false"/>
          <w:sz w:val="24"/>
          <w:szCs w:val="24"/>
        </w:rPr>
      </w:pPr>
      <w:r>
        <w:rPr>
          <w:rFonts w:ascii="Arial" w:hAnsi="Arial"/>
          <w:b/>
          <w:bCs/>
          <w:i w:val="false"/>
          <w:iCs w:val="false"/>
          <w:sz w:val="24"/>
          <w:szCs w:val="24"/>
        </w:rPr>
        <w:t xml:space="preserve">Pytanie nr </w:t>
      </w:r>
      <w:r>
        <w:rPr>
          <w:rFonts w:ascii="Arial" w:hAnsi="Arial"/>
          <w:i w:val="false"/>
          <w:iCs w:val="false"/>
          <w:sz w:val="24"/>
          <w:szCs w:val="24"/>
        </w:rPr>
        <w:t xml:space="preserve">1:  </w:t>
      </w:r>
      <w:r>
        <w:rPr>
          <w:rFonts w:ascii="Arial" w:hAnsi="Arial"/>
          <w:i w:val="false"/>
          <w:iCs w:val="false"/>
          <w:sz w:val="22"/>
          <w:szCs w:val="22"/>
        </w:rPr>
        <w:t xml:space="preserve">Zgodnie z SPECYFIKACJA TECHNICZNA WYKONANIA I ODBIORU ROBÓT BUDOWLANYCH STW-1 zgodnie z punktem 1.3.2. Roboty budowlane – opis ogólny przedsięwzięcia należy wykonać miedzy innymi: </w:t>
      </w:r>
    </w:p>
    <w:p>
      <w:pPr>
        <w:pStyle w:val="Normal"/>
        <w:rPr/>
      </w:pPr>
      <w:r>
        <w:rPr>
          <w:rFonts w:ascii="Arial" w:hAnsi="Arial"/>
          <w:i w:val="false"/>
          <w:iCs w:val="false"/>
          <w:sz w:val="22"/>
          <w:szCs w:val="22"/>
        </w:rPr>
        <w:t>- zmianę lokalizacji agregatu prądotwórczego kontenerowego w wersji przenośnej,</w:t>
      </w:r>
    </w:p>
    <w:p>
      <w:pPr>
        <w:pStyle w:val="Normal"/>
        <w:rPr/>
      </w:pPr>
      <w:r>
        <w:rPr>
          <w:sz w:val="22"/>
          <w:szCs w:val="22"/>
        </w:rPr>
        <w:t>- projekt lokalizacji wagi samochodowej w nawierzchni drogi dojazdowej do wiaty,</w:t>
      </w:r>
    </w:p>
    <w:p>
      <w:pPr>
        <w:pStyle w:val="Normal"/>
        <w:rPr/>
      </w:pPr>
      <w:r>
        <w:rPr>
          <w:sz w:val="22"/>
          <w:szCs w:val="22"/>
        </w:rPr>
        <w:t xml:space="preserve"> </w:t>
      </w:r>
      <w:r>
        <w:rPr>
          <w:sz w:val="22"/>
          <w:szCs w:val="22"/>
        </w:rPr>
        <w:t xml:space="preserve">- zmiana lokalizacji silosu na wapno (silos i posadowienie bez zmian), </w:t>
      </w:r>
    </w:p>
    <w:p>
      <w:pPr>
        <w:pStyle w:val="Default"/>
        <w:jc w:val="both"/>
        <w:rPr>
          <w:sz w:val="22"/>
          <w:szCs w:val="22"/>
        </w:rPr>
      </w:pPr>
      <w:r>
        <w:rPr>
          <w:sz w:val="22"/>
          <w:szCs w:val="22"/>
        </w:rPr>
        <w:t xml:space="preserve">- rozbiórka garaż. </w:t>
      </w:r>
    </w:p>
    <w:p>
      <w:pPr>
        <w:pStyle w:val="Normal"/>
        <w:rPr>
          <w:rFonts w:ascii="Arial" w:hAnsi="Arial"/>
          <w:i w:val="false"/>
          <w:i w:val="false"/>
          <w:iCs w:val="false"/>
          <w:sz w:val="24"/>
          <w:szCs w:val="24"/>
        </w:rPr>
      </w:pPr>
      <w:r>
        <w:rPr>
          <w:rFonts w:ascii="Arial" w:hAnsi="Arial"/>
          <w:i w:val="false"/>
          <w:iCs w:val="false"/>
          <w:sz w:val="22"/>
          <w:szCs w:val="22"/>
        </w:rPr>
        <w:t xml:space="preserve">W związku z brakiem pozycji dot. wyżej wymienionych prac w przedmiarze zwracamy się z prośbą o potwierdzenie, że należą do zakresu zamówienia i jakie prace obejmują. Czy w zakresie jest wykonanie nowego fundamentu dla przenoszonych obiektów? </w:t>
      </w:r>
    </w:p>
    <w:p>
      <w:pPr>
        <w:pStyle w:val="Normal"/>
        <w:rPr>
          <w:rFonts w:ascii="Arial" w:hAnsi="Arial"/>
          <w:b/>
          <w:b/>
          <w:bCs/>
          <w:i w:val="false"/>
          <w:i w:val="false"/>
          <w:iCs w:val="false"/>
          <w:sz w:val="24"/>
          <w:szCs w:val="24"/>
        </w:rPr>
      </w:pPr>
      <w:r>
        <w:rPr>
          <w:rFonts w:ascii="Arial" w:hAnsi="Arial"/>
          <w:b/>
          <w:bCs/>
          <w:i w:val="false"/>
          <w:iCs w:val="false"/>
          <w:sz w:val="22"/>
          <w:szCs w:val="22"/>
        </w:rPr>
        <w:t>Odpowiedź:</w:t>
      </w:r>
    </w:p>
    <w:p>
      <w:pPr>
        <w:pStyle w:val="Normal"/>
        <w:rPr>
          <w:rFonts w:ascii="Arial" w:hAnsi="Arial"/>
          <w:b w:val="false"/>
          <w:b w:val="false"/>
          <w:bCs w:val="false"/>
          <w:i w:val="false"/>
          <w:i w:val="false"/>
          <w:iCs w:val="false"/>
          <w:sz w:val="24"/>
          <w:szCs w:val="24"/>
        </w:rPr>
      </w:pPr>
      <w:r>
        <w:rPr>
          <w:rFonts w:ascii="Arial" w:hAnsi="Arial"/>
          <w:b w:val="false"/>
          <w:bCs w:val="false"/>
          <w:i w:val="false"/>
          <w:iCs w:val="false"/>
          <w:sz w:val="22"/>
          <w:szCs w:val="22"/>
        </w:rPr>
        <w:t>- zmiana lokalizacji agregatu prądotwórczego nie wchodzi w zakres zamówienia,</w:t>
      </w:r>
    </w:p>
    <w:p>
      <w:pPr>
        <w:pStyle w:val="Normal"/>
        <w:rPr>
          <w:rFonts w:ascii="Arial" w:hAnsi="Arial"/>
          <w:b w:val="false"/>
          <w:b w:val="false"/>
          <w:bCs w:val="false"/>
          <w:i w:val="false"/>
          <w:i w:val="false"/>
          <w:iCs w:val="false"/>
          <w:sz w:val="24"/>
          <w:szCs w:val="24"/>
        </w:rPr>
      </w:pPr>
      <w:r>
        <w:rPr>
          <w:rFonts w:ascii="Arial" w:hAnsi="Arial"/>
          <w:b w:val="false"/>
          <w:bCs w:val="false"/>
          <w:i w:val="false"/>
          <w:iCs w:val="false"/>
          <w:sz w:val="22"/>
          <w:szCs w:val="22"/>
        </w:rPr>
        <w:t>- projekt lokalizacji wagi samochodowej w nawierzchni drogi dojazdowej do wiaty ujęto w poz. 34.przedmiaru robót,</w:t>
      </w:r>
    </w:p>
    <w:p>
      <w:pPr>
        <w:pStyle w:val="Normal"/>
        <w:rPr>
          <w:rFonts w:ascii="Arial" w:hAnsi="Arial"/>
          <w:b w:val="false"/>
          <w:b w:val="false"/>
          <w:bCs w:val="false"/>
          <w:i w:val="false"/>
          <w:i w:val="false"/>
          <w:iCs w:val="false"/>
          <w:sz w:val="24"/>
          <w:szCs w:val="24"/>
        </w:rPr>
      </w:pPr>
      <w:r>
        <w:rPr>
          <w:rFonts w:ascii="Arial" w:hAnsi="Arial"/>
          <w:b w:val="false"/>
          <w:bCs w:val="false"/>
          <w:i w:val="false"/>
          <w:iCs w:val="false"/>
          <w:sz w:val="22"/>
          <w:szCs w:val="22"/>
        </w:rPr>
        <w:t>- zmiana lokalizacji silosu na wapno (silos i posadowienie bez zmian) nie wchodzi w zakres zamówienia,</w:t>
      </w:r>
    </w:p>
    <w:p>
      <w:pPr>
        <w:pStyle w:val="Normal"/>
        <w:rPr>
          <w:rFonts w:ascii="Arial" w:hAnsi="Arial"/>
          <w:b w:val="false"/>
          <w:b w:val="false"/>
          <w:bCs w:val="false"/>
          <w:i w:val="false"/>
          <w:i w:val="false"/>
          <w:iCs w:val="false"/>
          <w:sz w:val="24"/>
          <w:szCs w:val="24"/>
        </w:rPr>
      </w:pPr>
      <w:r>
        <w:rPr>
          <w:rFonts w:ascii="Arial" w:hAnsi="Arial"/>
          <w:b w:val="false"/>
          <w:bCs w:val="false"/>
          <w:i w:val="false"/>
          <w:iCs w:val="false"/>
          <w:sz w:val="22"/>
          <w:szCs w:val="22"/>
        </w:rPr>
        <w:t>- rozbiórka garaż nie wchodzi w zakres zamówienia.</w:t>
      </w:r>
    </w:p>
    <w:p>
      <w:pPr>
        <w:pStyle w:val="Normal"/>
        <w:rPr>
          <w:rFonts w:ascii="Arial" w:hAnsi="Arial"/>
          <w:b/>
          <w:b/>
          <w:bCs/>
          <w:i w:val="false"/>
          <w:i w:val="false"/>
          <w:iCs w:val="false"/>
          <w:sz w:val="24"/>
          <w:szCs w:val="24"/>
        </w:rPr>
      </w:pPr>
      <w:r>
        <w:rPr>
          <w:rFonts w:ascii="Arial" w:hAnsi="Arial"/>
          <w:b/>
          <w:bCs/>
          <w:i w:val="false"/>
          <w:iCs w:val="false"/>
          <w:sz w:val="22"/>
          <w:szCs w:val="22"/>
        </w:rPr>
        <w:t xml:space="preserve">Pytanie nr 2: </w:t>
      </w:r>
      <w:r>
        <w:rPr>
          <w:rFonts w:ascii="Arial" w:hAnsi="Arial"/>
          <w:b w:val="false"/>
          <w:bCs w:val="false"/>
          <w:i w:val="false"/>
          <w:iCs w:val="false"/>
          <w:sz w:val="22"/>
          <w:szCs w:val="22"/>
        </w:rPr>
        <w:t xml:space="preserve">Zgodnie z załączonymi badaniami geotechnicznymi w miejscu otworu nr 8 znajduje się płyta betonowa, w związku z brakiem poz. dot. rozbiórki elementów betonowych na terenie planowanej budowy wiaty, zwracamy się z prośbą o podanie zakresu robót rozbiórkowych elementów betonowych. </w:t>
      </w:r>
    </w:p>
    <w:p>
      <w:pPr>
        <w:pStyle w:val="Normal"/>
        <w:rPr>
          <w:rFonts w:ascii="Arial" w:hAnsi="Arial"/>
          <w:b/>
          <w:b/>
          <w:bCs/>
          <w:i w:val="false"/>
          <w:i w:val="false"/>
          <w:iCs w:val="false"/>
          <w:sz w:val="24"/>
          <w:szCs w:val="24"/>
        </w:rPr>
      </w:pPr>
      <w:r>
        <w:rPr>
          <w:rFonts w:ascii="Arial" w:hAnsi="Arial"/>
          <w:b/>
          <w:bCs/>
          <w:i w:val="false"/>
          <w:iCs w:val="false"/>
          <w:sz w:val="22"/>
          <w:szCs w:val="22"/>
        </w:rPr>
        <w:t xml:space="preserve">Odpowiedź: </w:t>
      </w:r>
      <w:r>
        <w:rPr>
          <w:rFonts w:ascii="Arial" w:hAnsi="Arial"/>
          <w:b w:val="false"/>
          <w:bCs w:val="false"/>
          <w:i w:val="false"/>
          <w:iCs w:val="false"/>
          <w:sz w:val="22"/>
          <w:szCs w:val="22"/>
        </w:rPr>
        <w:t>W projekcie zagospodarowania terenu rys. 01-A ujęto rozbiórkę  elementów betonowych o pow. 292,7 m</w:t>
      </w:r>
      <w:r>
        <w:rPr>
          <w:rFonts w:eastAsia="Calibri" w:cs="" w:ascii="Arial" w:hAnsi="Arial"/>
          <w:b w:val="false"/>
          <w:bCs w:val="false"/>
          <w:i w:val="false"/>
          <w:iCs w:val="false"/>
          <w:sz w:val="22"/>
          <w:szCs w:val="22"/>
        </w:rPr>
        <w:t>². Taką ilość należy wycenić.</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3: </w:t>
      </w:r>
      <w:r>
        <w:rPr>
          <w:rFonts w:eastAsia="Calibri" w:cs="" w:ascii="Arial" w:hAnsi="Arial"/>
          <w:b w:val="false"/>
          <w:bCs w:val="false"/>
          <w:i w:val="false"/>
          <w:iCs w:val="false"/>
          <w:sz w:val="22"/>
          <w:szCs w:val="22"/>
        </w:rPr>
        <w:t xml:space="preserve">Według załączonej dokumentacji : „Na powierzchni działki wolnej od zabudowy i niezajętej przez nawierzchnie należy wykonać trawnik poprzez ułożenie warstwy humusu grubości 20 cm i obsianie mieszanką traw.” W nawiązaniu do przytoczonych zapisów dokumentacji projektowej, zwracamy się z prośbą o podanie powierzchni na której należy wykonać opisane prace.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Należy wycenić trawni</w:t>
      </w:r>
      <w:r>
        <w:rPr>
          <w:rFonts w:eastAsia="Calibri" w:cs="" w:ascii="Arial" w:hAnsi="Arial"/>
          <w:b w:val="false"/>
          <w:bCs w:val="false"/>
          <w:i w:val="false"/>
          <w:iCs w:val="false"/>
          <w:sz w:val="22"/>
          <w:szCs w:val="22"/>
        </w:rPr>
        <w:t>k</w:t>
      </w:r>
      <w:r>
        <w:rPr>
          <w:rFonts w:eastAsia="Calibri" w:cs="" w:ascii="Arial" w:hAnsi="Arial"/>
          <w:b w:val="false"/>
          <w:bCs w:val="false"/>
          <w:i w:val="false"/>
          <w:iCs w:val="false"/>
          <w:sz w:val="22"/>
          <w:szCs w:val="22"/>
        </w:rPr>
        <w:t xml:space="preserve"> o pow. 500 m².</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Pytanie nr 4:</w:t>
      </w:r>
      <w:r>
        <w:rPr>
          <w:rFonts w:eastAsia="Calibri" w:cs="" w:ascii="Arial" w:hAnsi="Arial"/>
          <w:b w:val="false"/>
          <w:bCs w:val="false"/>
          <w:i w:val="false"/>
          <w:iCs w:val="false"/>
          <w:sz w:val="22"/>
          <w:szCs w:val="22"/>
        </w:rPr>
        <w:t xml:space="preserve"> Zwracamy się z prośbą o weryfikację ilości projektowanych studzienek kanalizacyjnych systemowych o średnicy 315 mm. Według załączonego przedmiaru należy dostarczyć 5 szt. studzienek, natomiast według dokumentacji projektowej instalacji sanitarnej deszczowej „Instalacja kanalizacji wody deszczowej” (nr rysunku PBz2021-01-S) zaprojektowanych jest 18 szt. studzienek. Prosimy o weryfikację ilości i rodzaju studzienek.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Należy wycenić  10 szt. studzienek ø315.</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5: </w:t>
      </w:r>
      <w:r>
        <w:rPr>
          <w:rFonts w:eastAsia="Calibri" w:cs="" w:ascii="Arial" w:hAnsi="Arial"/>
          <w:b w:val="false"/>
          <w:bCs w:val="false"/>
          <w:i w:val="false"/>
          <w:iCs w:val="false"/>
          <w:sz w:val="22"/>
          <w:szCs w:val="22"/>
        </w:rPr>
        <w:t xml:space="preserve">Zwracamy się z prośbą o udostępnienie rysunku projektowanego zbiornika bezodpływowego na deszczówkę.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Budowa zbiornika bezodpływowego na deszcówkę nie wchodzi w zakres zamówienia.</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6: </w:t>
      </w:r>
      <w:r>
        <w:rPr>
          <w:rFonts w:eastAsia="Calibri" w:cs="" w:ascii="Arial" w:hAnsi="Arial"/>
          <w:b w:val="false"/>
          <w:bCs w:val="false"/>
          <w:i w:val="false"/>
          <w:iCs w:val="false"/>
          <w:sz w:val="22"/>
          <w:szCs w:val="22"/>
        </w:rPr>
        <w:t xml:space="preserve">Zwracamy się z prośbą o udostępnienie profili kanalizacji deszczowej.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Zamawiający nie posiada rysunku profili kanalizacji deszczowej. Rzędne kanalizacji deszczowej podane są na rys. Pbz 2021-01-S.</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7: </w:t>
      </w:r>
      <w:r>
        <w:rPr>
          <w:rFonts w:eastAsia="Calibri" w:cs="" w:ascii="Arial" w:hAnsi="Arial"/>
          <w:b w:val="false"/>
          <w:bCs w:val="false"/>
          <w:i w:val="false"/>
          <w:iCs w:val="false"/>
          <w:sz w:val="22"/>
          <w:szCs w:val="22"/>
        </w:rPr>
        <w:t xml:space="preserve">Z tabeli przedstawionej na rysunku PBz2021-02-A2 pt. „Projekt zagospodarowania terenu; plansza dróg projektowanych” wynika, że drogi 2021 należy wykonać w ilości 728,7m2. Sumując natomiast powierzchnie z rysunku zgodnie z kolorem legendy (kolor niebieski) uzyskujemy 1177,7m2 (195,6+343,2+85,8+36,9+450+66,2). Prosimy o precyzyjne określenie powierzchni koniecznych do wyceny i wykonania dróg?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Należy wycenić 1140,8 m² dróg.</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8: </w:t>
      </w:r>
      <w:r>
        <w:rPr>
          <w:rFonts w:eastAsia="Calibri" w:cs="" w:ascii="Arial" w:hAnsi="Arial"/>
          <w:b w:val="false"/>
          <w:bCs w:val="false"/>
          <w:i w:val="false"/>
          <w:iCs w:val="false"/>
          <w:sz w:val="22"/>
          <w:szCs w:val="22"/>
        </w:rPr>
        <w:t xml:space="preserve">Według rysunku PBz2021-02-A2 pt. „Projekt zagospodarowania terenu; plansza dróg projektowanych” powierzchnia dróg do wykonania nad budynkiem F podana jest w ilości 36,9m2. Obliczając natomiast jej powierzchnię na podstawie wymiarów podanych przy tej powierzchni otrzymujemy 53,55m2. Która wartość jest poprawna?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Zakres z rys. PBz2021-02-A2 o pow. 36,9 m² nie wchodzi w zakres zamówienia.</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9: </w:t>
      </w:r>
      <w:r>
        <w:rPr>
          <w:rFonts w:eastAsia="Calibri" w:cs="" w:ascii="Arial" w:hAnsi="Arial"/>
          <w:b w:val="false"/>
          <w:bCs w:val="false"/>
          <w:i w:val="false"/>
          <w:iCs w:val="false"/>
          <w:sz w:val="22"/>
          <w:szCs w:val="22"/>
        </w:rPr>
        <w:t xml:space="preserve">Suma powierzchni dróg do wykonania według trzech przedmiarów załączonych do dokumentacji wynosi 3365,7m2, natomiast sumując powierzchnie pokazane na rysunku PBz2021-02-A2 pt. „Projekt zagospodarowania terenu; plansza dróg projektowanych” ilość do wykonania według projektu wiata, projekt 2015 i projekt 2021 wynosi 3566,1m2. Prosimy o precyzyjne określenie powierzchni dróg oraz długości krawężnika do wykonania.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Należy wycenić 1140,8 m² dróg i 262,1 mb krawężników.</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10: </w:t>
      </w:r>
      <w:r>
        <w:rPr>
          <w:rFonts w:eastAsia="Calibri" w:cs="" w:ascii="Arial" w:hAnsi="Arial"/>
          <w:b w:val="false"/>
          <w:bCs w:val="false"/>
          <w:i w:val="false"/>
          <w:iCs w:val="false"/>
          <w:sz w:val="22"/>
          <w:szCs w:val="22"/>
        </w:rPr>
        <w:t xml:space="preserve">Wskazane na projekcie zagospodarowania terenu (rysunek PBz2021-02-A2) powierzchnie dróg utwardzonych według projektu 2021 dowiązują się do nawierzchni opisanej jako projekt 2015. Czy Wykonawca ma się dowiązać do zamontowanego na podstawie projektu 2015 krawężnika, czy krawężnik ten należy zdemontować? Przedmiary nie obejmują takiej pozycji jak demontaż istniejącego krawężnika.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Należy wycenić zdemontowanie 110,1 mb krawężnika.</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11: </w:t>
      </w:r>
      <w:r>
        <w:rPr>
          <w:rFonts w:eastAsia="Calibri" w:cs="" w:ascii="Arial" w:hAnsi="Arial"/>
          <w:b w:val="false"/>
          <w:bCs w:val="false"/>
          <w:i w:val="false"/>
          <w:iCs w:val="false"/>
          <w:sz w:val="22"/>
          <w:szCs w:val="22"/>
        </w:rPr>
        <w:t xml:space="preserve">Projektowana kanalizacja deszczowa do zbiornika buforowego wg projektu zamiennego 2021 przechodzi pod drogami według projektu 2015. Prosimy o podanie konstrukcji nawierzchni dla projektu 2015, czy konstrukcje nawierzchni z projektu 2015 i 2021 są takie same?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Konstrukcję nawierzchni nal</w:t>
      </w:r>
      <w:r>
        <w:rPr>
          <w:rFonts w:eastAsia="Calibri" w:cs="" w:ascii="Arial" w:hAnsi="Arial"/>
          <w:b w:val="false"/>
          <w:bCs w:val="false"/>
          <w:i w:val="false"/>
          <w:iCs w:val="false"/>
          <w:sz w:val="22"/>
          <w:szCs w:val="22"/>
        </w:rPr>
        <w:t>e</w:t>
      </w:r>
      <w:r>
        <w:rPr>
          <w:rFonts w:eastAsia="Calibri" w:cs="" w:ascii="Arial" w:hAnsi="Arial"/>
          <w:b w:val="false"/>
          <w:bCs w:val="false"/>
          <w:i w:val="false"/>
          <w:iCs w:val="false"/>
          <w:sz w:val="22"/>
          <w:szCs w:val="22"/>
        </w:rPr>
        <w:t>ży przy</w:t>
      </w:r>
      <w:r>
        <w:rPr>
          <w:rFonts w:eastAsia="Calibri" w:cs="" w:ascii="Arial" w:hAnsi="Arial"/>
          <w:b w:val="false"/>
          <w:bCs w:val="false"/>
          <w:i w:val="false"/>
          <w:iCs w:val="false"/>
          <w:sz w:val="22"/>
          <w:szCs w:val="22"/>
        </w:rPr>
        <w:t>j</w:t>
      </w:r>
      <w:r>
        <w:rPr>
          <w:rFonts w:eastAsia="Calibri" w:cs="" w:ascii="Arial" w:hAnsi="Arial"/>
          <w:b w:val="false"/>
          <w:bCs w:val="false"/>
          <w:i w:val="false"/>
          <w:iCs w:val="false"/>
          <w:sz w:val="22"/>
          <w:szCs w:val="22"/>
        </w:rPr>
        <w:t>ąć z projektu 2021.</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12: </w:t>
      </w:r>
      <w:r>
        <w:rPr>
          <w:rFonts w:eastAsia="Calibri" w:cs="" w:ascii="Arial" w:hAnsi="Arial"/>
          <w:b w:val="false"/>
          <w:bCs w:val="false"/>
          <w:i w:val="false"/>
          <w:iCs w:val="false"/>
          <w:sz w:val="22"/>
          <w:szCs w:val="22"/>
        </w:rPr>
        <w:t xml:space="preserve">Projektowana kanalizacja deszczowa przechodzi pod drogami wg projektu 2015, czy wykonawca ma w swojej ofercie uwzględnić rozbiórkę i odtworzenie tej nawierzchni w śladzie kanalizacji deszczowej?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Odpowiedź: N</w:t>
      </w:r>
      <w:r>
        <w:rPr>
          <w:rFonts w:eastAsia="Calibri" w:cs="" w:ascii="Arial" w:hAnsi="Arial"/>
          <w:b w:val="false"/>
          <w:bCs w:val="false"/>
          <w:i w:val="false"/>
          <w:iCs w:val="false"/>
          <w:sz w:val="22"/>
          <w:szCs w:val="22"/>
        </w:rPr>
        <w:t>ależy wycenić rozbiórkę i odtworzenie tej nawierzchni po śladzie kanalizacji deszczowej.</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13: </w:t>
      </w:r>
      <w:r>
        <w:rPr>
          <w:rFonts w:eastAsia="Calibri" w:cs="" w:ascii="Arial" w:hAnsi="Arial"/>
          <w:b w:val="false"/>
          <w:bCs w:val="false"/>
          <w:i w:val="false"/>
          <w:iCs w:val="false"/>
          <w:sz w:val="22"/>
          <w:szCs w:val="22"/>
        </w:rPr>
        <w:t xml:space="preserve">Zgodnie z punktem 5 opisu technicznego Projektu zagospodarowania terenu w zakres projektowanego zagospodarowania terenu wchodzi m.in. waga samochodowa (pkt. 5.1.2). Natomiast zgodnie z załącznikiem nr 12 Formularz cenowy osobno należy wycenić pozycje: zagospodarowanie terenu, droga dojazdowa, waga samochodowa. Jaki zakres robót zamawiający rozumie zatem pod pojęciem zagospodarowanie terenu, co pod pojęciem droga dojazdowa a co pod pojęciem waga samochodowa?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 xml:space="preserve">- waga samochodowa wg przedmiaru poz. 34 </w:t>
      </w:r>
      <w:r>
        <w:rPr>
          <w:rFonts w:eastAsia="Calibri" w:cs="" w:ascii="Arial" w:hAnsi="Arial"/>
          <w:b w:val="false"/>
          <w:bCs w:val="false"/>
          <w:i w:val="false"/>
          <w:iCs w:val="false"/>
          <w:sz w:val="22"/>
          <w:szCs w:val="22"/>
        </w:rPr>
        <w:t>komplet (dostawa, montaż,fundamenty)</w:t>
      </w:r>
    </w:p>
    <w:p>
      <w:pPr>
        <w:pStyle w:val="Normal"/>
        <w:rPr>
          <w:rFonts w:ascii="Arial" w:hAnsi="Arial"/>
          <w:b w:val="false"/>
          <w:b w:val="false"/>
          <w:bCs w:val="false"/>
          <w:i w:val="false"/>
          <w:i w:val="false"/>
          <w:iCs w:val="false"/>
          <w:sz w:val="24"/>
          <w:szCs w:val="24"/>
        </w:rPr>
      </w:pPr>
      <w:r>
        <w:rPr>
          <w:rFonts w:eastAsia="Calibri" w:cs="" w:ascii="Arial" w:hAnsi="Arial"/>
          <w:b w:val="false"/>
          <w:bCs w:val="false"/>
          <w:i w:val="false"/>
          <w:iCs w:val="false"/>
          <w:sz w:val="22"/>
          <w:szCs w:val="22"/>
        </w:rPr>
        <w:t>- droga dojazdowa - 1140,8 m² z krawężnikami</w:t>
      </w:r>
      <w:r>
        <w:rPr>
          <w:rFonts w:eastAsia="Calibri" w:cs="" w:ascii="Arial" w:hAnsi="Arial"/>
          <w:b w:val="false"/>
          <w:bCs w:val="false"/>
          <w:i w:val="false"/>
          <w:iCs w:val="false"/>
          <w:sz w:val="24"/>
          <w:szCs w:val="24"/>
        </w:rPr>
        <w:t xml:space="preserve"> </w:t>
      </w:r>
      <w:r>
        <w:rPr>
          <w:rFonts w:eastAsia="Calibri" w:cs="" w:ascii="Arial" w:hAnsi="Arial"/>
          <w:b w:val="false"/>
          <w:bCs w:val="false"/>
          <w:i w:val="false"/>
          <w:iCs w:val="false"/>
          <w:sz w:val="24"/>
          <w:szCs w:val="24"/>
        </w:rPr>
        <w:t>plus demontaż krawężników</w:t>
      </w:r>
    </w:p>
    <w:p>
      <w:pPr>
        <w:pStyle w:val="Normal"/>
        <w:rPr>
          <w:rFonts w:ascii="Arial" w:hAnsi="Arial"/>
          <w:b w:val="false"/>
          <w:b w:val="false"/>
          <w:bCs w:val="false"/>
          <w:i w:val="false"/>
          <w:i w:val="false"/>
          <w:iCs w:val="false"/>
          <w:sz w:val="24"/>
          <w:szCs w:val="24"/>
        </w:rPr>
      </w:pPr>
      <w:r>
        <w:rPr>
          <w:rFonts w:eastAsia="Calibri" w:cs="" w:ascii="Arial" w:hAnsi="Arial"/>
          <w:b w:val="false"/>
          <w:bCs w:val="false"/>
          <w:i w:val="false"/>
          <w:iCs w:val="false"/>
          <w:sz w:val="22"/>
          <w:szCs w:val="22"/>
        </w:rPr>
        <w:t xml:space="preserve">- zagospodarowanie terenu – </w:t>
      </w:r>
      <w:r>
        <w:rPr>
          <w:rFonts w:eastAsia="Calibri" w:cs="" w:ascii="Arial" w:hAnsi="Arial"/>
          <w:b w:val="false"/>
          <w:bCs w:val="false"/>
          <w:i w:val="false"/>
          <w:iCs w:val="false"/>
          <w:sz w:val="22"/>
          <w:szCs w:val="22"/>
        </w:rPr>
        <w:t>rozbiórkę elementów betonowych o pow. 292,7 m</w:t>
      </w:r>
      <w:r>
        <w:rPr>
          <w:rFonts w:eastAsia="Calibri" w:cs="" w:ascii="Arial" w:hAnsi="Arial"/>
          <w:b w:val="false"/>
          <w:bCs w:val="false"/>
          <w:i w:val="false"/>
          <w:iCs w:val="false"/>
          <w:sz w:val="22"/>
          <w:szCs w:val="22"/>
        </w:rPr>
        <w:t>²</w:t>
      </w:r>
      <w:r>
        <w:rPr>
          <w:rFonts w:eastAsia="Calibri" w:cs="" w:ascii="Arial" w:hAnsi="Arial"/>
          <w:b w:val="false"/>
          <w:bCs w:val="false"/>
          <w:i w:val="false"/>
          <w:iCs w:val="false"/>
          <w:sz w:val="22"/>
          <w:szCs w:val="22"/>
        </w:rPr>
        <w:t>, tereny zielone (500 m²).</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14: </w:t>
      </w:r>
      <w:r>
        <w:rPr>
          <w:rFonts w:eastAsia="Calibri" w:cs="" w:ascii="Arial" w:hAnsi="Arial"/>
          <w:b w:val="false"/>
          <w:bCs w:val="false"/>
          <w:i w:val="false"/>
          <w:iCs w:val="false"/>
          <w:sz w:val="22"/>
          <w:szCs w:val="22"/>
        </w:rPr>
        <w:t xml:space="preserve">Prosimy o potwierdzenie możliwości zasilania złącza ZK11.1 z rozdzielnicy głównej (rezerwa miejsca).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Zamawiający potwierdza możliwość zasilania złącza ZK11.1 z rozdzielnicy głównej (rezerwa miejsca).</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15: </w:t>
      </w:r>
      <w:r>
        <w:rPr>
          <w:rFonts w:eastAsia="Calibri" w:cs="" w:ascii="Arial" w:hAnsi="Arial"/>
          <w:b w:val="false"/>
          <w:bCs w:val="false"/>
          <w:i w:val="false"/>
          <w:iCs w:val="false"/>
          <w:sz w:val="22"/>
          <w:szCs w:val="22"/>
        </w:rPr>
        <w:t xml:space="preserve">Czy Zamawiający wyrazi zgodę na wykonanie zasilania obiektu z rozdzielnicy obiektowej budynku D – osobny odpływ dla BigBag i osobny dla rozdzielnicy obiektowej? .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Odpowiedź:</w:t>
      </w:r>
      <w:r>
        <w:rPr>
          <w:rFonts w:eastAsia="Calibri" w:cs="" w:ascii="Arial" w:hAnsi="Arial"/>
          <w:b w:val="false"/>
          <w:bCs w:val="false"/>
          <w:i w:val="false"/>
          <w:iCs w:val="false"/>
          <w:sz w:val="22"/>
          <w:szCs w:val="22"/>
        </w:rPr>
        <w:t xml:space="preserve">Zamawiający </w:t>
      </w:r>
      <w:r>
        <w:rPr>
          <w:rFonts w:eastAsia="Calibri" w:cs="" w:ascii="Arial" w:hAnsi="Arial"/>
          <w:b/>
          <w:bCs/>
          <w:i w:val="false"/>
          <w:iCs w:val="false"/>
          <w:sz w:val="22"/>
          <w:szCs w:val="22"/>
        </w:rPr>
        <w:t xml:space="preserve">nie wyraża zgodę </w:t>
      </w:r>
      <w:r>
        <w:rPr>
          <w:rFonts w:eastAsia="Calibri" w:cs="" w:ascii="Arial" w:hAnsi="Arial"/>
          <w:b w:val="false"/>
          <w:bCs w:val="false"/>
          <w:i w:val="false"/>
          <w:iCs w:val="false"/>
          <w:sz w:val="22"/>
          <w:szCs w:val="22"/>
        </w:rPr>
        <w:t>na wykonanie zasilania obiektu z rozdzielnicy obiektowej budynku D – osobny odpływ dla BigBag i osobny dla rozdzielnicy obiektowej.</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16: </w:t>
      </w:r>
      <w:r>
        <w:rPr>
          <w:rFonts w:eastAsia="Calibri" w:cs="" w:ascii="Arial" w:hAnsi="Arial"/>
          <w:b w:val="false"/>
          <w:bCs w:val="false"/>
          <w:i w:val="false"/>
          <w:iCs w:val="false"/>
          <w:sz w:val="22"/>
          <w:szCs w:val="22"/>
        </w:rPr>
        <w:t>Czy Zamawiający wyrazi zgodę na umieszczenie rozdzielnicy ST-W w wiacie? Umożliwi to bezproblemowy dostęp do zabezpieczeń.</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Zamawiający wyraża zgodę na umieszczenie rozdzielnicy ST-W w wiacie.</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Pytanie nr 17: </w:t>
      </w:r>
      <w:r>
        <w:rPr>
          <w:rFonts w:eastAsia="Calibri" w:cs="" w:ascii="Arial" w:hAnsi="Arial"/>
          <w:b w:val="false"/>
          <w:bCs w:val="false"/>
          <w:i w:val="false"/>
          <w:iCs w:val="false"/>
          <w:sz w:val="22"/>
          <w:szCs w:val="22"/>
        </w:rPr>
        <w:t xml:space="preserve">Czy Zamawiający wyrazi zgodę na umieszczenie łączników jednobiegunowych w wiacie? Umożliwi to wizualną kontrolę załączonych opraw. </w:t>
      </w:r>
    </w:p>
    <w:p>
      <w:pPr>
        <w:pStyle w:val="Normal"/>
        <w:rPr>
          <w:rFonts w:ascii="Arial" w:hAnsi="Arial"/>
          <w:b/>
          <w:b/>
          <w:bCs/>
          <w:i w:val="false"/>
          <w:i w:val="false"/>
          <w:iCs w:val="false"/>
          <w:sz w:val="24"/>
          <w:szCs w:val="24"/>
        </w:rPr>
      </w:pPr>
      <w:r>
        <w:rPr>
          <w:rFonts w:eastAsia="Calibri" w:cs="" w:ascii="Arial" w:hAnsi="Arial"/>
          <w:b/>
          <w:bCs/>
          <w:i w:val="false"/>
          <w:iCs w:val="false"/>
          <w:sz w:val="22"/>
          <w:szCs w:val="22"/>
        </w:rPr>
        <w:t xml:space="preserve">Odpowiedź: </w:t>
      </w:r>
      <w:r>
        <w:rPr>
          <w:rFonts w:eastAsia="Calibri" w:cs="" w:ascii="Arial" w:hAnsi="Arial"/>
          <w:b w:val="false"/>
          <w:bCs w:val="false"/>
          <w:i w:val="false"/>
          <w:iCs w:val="false"/>
          <w:sz w:val="22"/>
          <w:szCs w:val="22"/>
        </w:rPr>
        <w:t>Zamawiający wyraża zgodę na umieszczenie łączników jednobiegunowych w wiacie.</w:t>
      </w:r>
    </w:p>
    <w:p>
      <w:pPr>
        <w:pStyle w:val="Normal"/>
        <w:rPr>
          <w:rFonts w:ascii="Arial" w:hAnsi="Arial" w:eastAsia="Calibri" w:cs=""/>
          <w:sz w:val="22"/>
          <w:szCs w:val="22"/>
        </w:rPr>
      </w:pPr>
      <w:r>
        <w:rPr>
          <w:rFonts w:eastAsia="Calibri" w:cs="" w:ascii="Arial" w:hAnsi="Arial"/>
          <w:sz w:val="22"/>
          <w:szCs w:val="22"/>
        </w:rPr>
      </w:r>
    </w:p>
    <w:p>
      <w:pPr>
        <w:pStyle w:val="Normal"/>
        <w:spacing w:before="0" w:after="160"/>
        <w:rPr>
          <w:rFonts w:ascii="Arial" w:hAnsi="Arial"/>
          <w:b/>
          <w:b/>
          <w:bCs/>
          <w:i w:val="false"/>
          <w:i w:val="false"/>
          <w:iCs w:val="false"/>
          <w:sz w:val="24"/>
          <w:szCs w:val="24"/>
        </w:rPr>
      </w:pPr>
      <w:r>
        <w:rPr>
          <w:rFonts w:eastAsia="Calibri" w:cs="" w:ascii="Arial" w:hAnsi="Arial"/>
          <w:b/>
          <w:bCs/>
          <w:i w:val="false"/>
          <w:iCs w:val="false"/>
          <w:sz w:val="22"/>
          <w:szCs w:val="22"/>
        </w:rPr>
        <w:t xml:space="preserve">                     </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roman"/>
    <w:pitch w:val="variable"/>
  </w:font>
  <w:font w:name="Arial">
    <w:charset w:val="ee"/>
    <w:family w:val="roman"/>
    <w:pitch w:val="variable"/>
  </w:font>
  <w:font w:name="Calibri Light">
    <w:charset w:val="ee"/>
    <w:family w:val="roman"/>
    <w:pitch w:val="variable"/>
  </w:font>
  <w:font w:name="sans-serif">
    <w:altName w:val="Arial"/>
    <w:charset w:val="ee"/>
    <w:family w:val="roman"/>
    <w:pitch w:val="variable"/>
  </w:font>
  <w:font w:name="Arial">
    <w:charset w:val="01"/>
    <w:family w:val="swiss"/>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unhideWhenUsed/>
    <w:rsid w:val="0086780d"/>
    <w:rPr>
      <w:color w:val="0563C1" w:themeColor="hyperlink"/>
      <w:u w:val="single"/>
    </w:rPr>
  </w:style>
  <w:style w:type="character" w:styleId="TekstdymkaZnak" w:customStyle="1">
    <w:name w:val="Tekst dymka Znak"/>
    <w:basedOn w:val="DefaultParagraphFont"/>
    <w:link w:val="Tekstdymka"/>
    <w:uiPriority w:val="99"/>
    <w:semiHidden/>
    <w:qFormat/>
    <w:rsid w:val="00f412ff"/>
    <w:rPr>
      <w:rFonts w:ascii="Segoe UI" w:hAnsi="Segoe UI" w:cs="Segoe UI"/>
      <w:sz w:val="18"/>
      <w:szCs w:val="18"/>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BalloonText">
    <w:name w:val="Balloon Text"/>
    <w:basedOn w:val="Normal"/>
    <w:link w:val="TekstdymkaZnak"/>
    <w:uiPriority w:val="99"/>
    <w:semiHidden/>
    <w:unhideWhenUsed/>
    <w:qFormat/>
    <w:rsid w:val="00f412ff"/>
    <w:pPr>
      <w:spacing w:lineRule="auto" w:line="240" w:before="0" w:after="0"/>
    </w:pPr>
    <w:rPr>
      <w:rFonts w:ascii="Segoe UI" w:hAnsi="Segoe UI" w:cs="Segoe UI"/>
      <w:sz w:val="18"/>
      <w:szCs w:val="18"/>
    </w:rPr>
  </w:style>
  <w:style w:type="paragraph" w:styleId="Wcicietrecitekstu">
    <w:name w:val="Body Text Indent"/>
    <w:basedOn w:val="Tretekstu"/>
    <w:qFormat/>
    <w:pPr>
      <w:spacing w:lineRule="auto" w:line="276" w:before="0" w:after="200"/>
      <w:ind w:firstLine="360"/>
      <w:jc w:val="left"/>
    </w:pPr>
    <w:rPr>
      <w:rFonts w:ascii="Calibri" w:hAnsi="Calibri"/>
      <w:b w:val="false"/>
      <w:sz w:val="22"/>
      <w:szCs w:val="22"/>
    </w:rPr>
  </w:style>
  <w:style w:type="paragraph" w:styleId="ListParagraph">
    <w:name w:val="List Paragraph"/>
    <w:basedOn w:val="Normal"/>
    <w:qFormat/>
    <w:pPr>
      <w:spacing w:before="0" w:after="0"/>
      <w:ind w:left="720" w:hanging="0"/>
      <w:contextualSpacing/>
    </w:pPr>
    <w:rPr/>
  </w:style>
  <w:style w:type="paragraph" w:styleId="Default">
    <w:name w:val="Default"/>
    <w:qFormat/>
    <w:pPr>
      <w:widowControl/>
      <w:suppressAutoHyphens w:val="true"/>
      <w:bidi w:val="0"/>
      <w:spacing w:lineRule="auto" w:line="240" w:before="0" w:after="0"/>
      <w:jc w:val="left"/>
    </w:pPr>
    <w:rPr>
      <w:rFonts w:ascii="Calibri" w:hAnsi="Calibri" w:eastAsia="Calibri" w:cs="Calibri"/>
      <w:color w:val="000000"/>
      <w:kern w:val="0"/>
      <w:sz w:val="24"/>
      <w:szCs w:val="24"/>
      <w:lang w:val="pl-PL" w:eastAsia="en-US"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ip.wegorzyno.pl/"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Application>LibreOffice/7.0.3.1$Windows_X86_64 LibreOffice_project/d7547858d014d4cf69878db179d326fc3483e082</Application>
  <Pages>4</Pages>
  <Words>1007</Words>
  <Characters>6593</Characters>
  <CharactersWithSpaces>7587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2021-04-28T11:28:00Z</dcterms:created>
  <dc:creator>Jacek Pierechód</dc:creator>
  <dc:description/>
  <dc:language>pl-PL</dc:language>
  <cp:lastModifiedBy/>
  <cp:lastPrinted>2021-07-02T09:28:11Z</cp:lastPrinted>
  <dcterms:modified xsi:type="dcterms:W3CDTF">2021-07-02T09:29:37Z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